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75" w:rsidRPr="00524575" w:rsidRDefault="00524575" w:rsidP="00707921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</w:pPr>
      <w:r w:rsidRPr="00524575">
        <w:rPr>
          <w:rFonts w:ascii="Tahoma" w:eastAsia="Times New Roman" w:hAnsi="Tahoma" w:cs="Tahoma"/>
          <w:b/>
          <w:bCs/>
          <w:color w:val="404040"/>
          <w:sz w:val="32"/>
          <w:szCs w:val="32"/>
          <w:lang w:eastAsia="ru-RU"/>
        </w:rPr>
        <w:t>Пояснения к бланку для голосования.</w:t>
      </w:r>
      <w:r w:rsidRPr="00524575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br/>
        <w:t>ПЛЮСЫ И МИНУСЫ НАКОПЛЕ</w:t>
      </w:r>
      <w:r w:rsidRPr="00524575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softHyphen/>
        <w:t>НИЯ СРЕДСТВ НА СПЕЦИАЛЬНОМ СЧЕТЕ</w:t>
      </w:r>
    </w:p>
    <w:p w:rsidR="00524575" w:rsidRPr="00524575" w:rsidRDefault="00524575" w:rsidP="0052457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  <w:r w:rsidRPr="00524575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t>И НА СЧЕТЕ РЕГИОНАЛЬ</w:t>
      </w:r>
      <w:r w:rsidRPr="00524575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softHyphen/>
        <w:t>НОГО ОПЕРАТОРА </w:t>
      </w:r>
    </w:p>
    <w:tbl>
      <w:tblPr>
        <w:tblW w:w="6137" w:type="pct"/>
        <w:tblInd w:w="-14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646"/>
        <w:gridCol w:w="4535"/>
      </w:tblGrid>
      <w:tr w:rsidR="00707921" w:rsidRPr="00524575" w:rsidTr="00050C50">
        <w:tc>
          <w:tcPr>
            <w:tcW w:w="3302" w:type="dxa"/>
            <w:shd w:val="clear" w:color="auto" w:fill="FFFFFF"/>
            <w:hideMark/>
          </w:tcPr>
          <w:p w:rsidR="00524575" w:rsidRPr="00524575" w:rsidRDefault="00524575" w:rsidP="00524575">
            <w:pPr>
              <w:spacing w:after="0" w:line="240" w:lineRule="atLeast"/>
              <w:rPr>
                <w:rFonts w:ascii="Tahoma" w:eastAsia="Times New Roman" w:hAnsi="Tahoma" w:cs="Tahoma"/>
                <w:color w:val="404040"/>
                <w:sz w:val="18"/>
                <w:szCs w:val="18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6" w:type="dxa"/>
            <w:shd w:val="clear" w:color="auto" w:fill="FFFFFF"/>
            <w:hideMark/>
          </w:tcPr>
          <w:p w:rsidR="00524575" w:rsidRPr="00524575" w:rsidRDefault="00524575" w:rsidP="00524575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404040"/>
                <w:sz w:val="18"/>
                <w:szCs w:val="18"/>
                <w:lang w:eastAsia="ru-RU"/>
              </w:rPr>
            </w:pP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8"/>
                <w:szCs w:val="18"/>
                <w:lang w:eastAsia="ru-RU"/>
              </w:rPr>
              <w:t>Накопление средств на специальном счёте</w:t>
            </w:r>
            <w:r>
              <w:rPr>
                <w:rFonts w:ascii="Tahoma" w:eastAsia="Times New Roman" w:hAnsi="Tahoma" w:cs="Tahoma"/>
                <w:b/>
                <w:bCs/>
                <w:color w:val="404040"/>
                <w:sz w:val="18"/>
                <w:szCs w:val="18"/>
                <w:lang w:eastAsia="ru-RU"/>
              </w:rPr>
              <w:t xml:space="preserve"> ТСЖ</w:t>
            </w:r>
          </w:p>
        </w:tc>
        <w:tc>
          <w:tcPr>
            <w:tcW w:w="4535" w:type="dxa"/>
            <w:shd w:val="clear" w:color="auto" w:fill="FFFFFF"/>
            <w:hideMark/>
          </w:tcPr>
          <w:p w:rsidR="00524575" w:rsidRPr="00524575" w:rsidRDefault="00524575" w:rsidP="00524575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404040"/>
                <w:sz w:val="18"/>
                <w:szCs w:val="18"/>
                <w:lang w:eastAsia="ru-RU"/>
              </w:rPr>
            </w:pP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8"/>
                <w:szCs w:val="18"/>
                <w:lang w:eastAsia="ru-RU"/>
              </w:rPr>
              <w:t>Накопление средств у регионального оператора</w:t>
            </w:r>
          </w:p>
        </w:tc>
      </w:tr>
      <w:tr w:rsidR="00707921" w:rsidRPr="00524575" w:rsidTr="00050C50">
        <w:tc>
          <w:tcPr>
            <w:tcW w:w="3302" w:type="dxa"/>
            <w:shd w:val="clear" w:color="auto" w:fill="FFFFFF"/>
            <w:hideMark/>
          </w:tcPr>
          <w:p w:rsidR="00E02B20" w:rsidRPr="00006EED" w:rsidRDefault="00E02B20" w:rsidP="00524575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</w:pPr>
            <w:r w:rsidRPr="00006EED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>Расходы по обслуживанию расчетного счета и формированию платежных документов</w:t>
            </w:r>
            <w:r w:rsidR="00006EED" w:rsidRPr="00006EED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 xml:space="preserve"> и работа с должниками</w:t>
            </w:r>
          </w:p>
          <w:p w:rsidR="00E02B20" w:rsidRPr="00006EED" w:rsidRDefault="00E02B20" w:rsidP="00524575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</w:pPr>
          </w:p>
          <w:p w:rsidR="00707921" w:rsidRPr="00006EED" w:rsidRDefault="00707921" w:rsidP="00524575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</w:pPr>
            <w:r w:rsidRPr="00006EED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 xml:space="preserve">Финансовые риски </w:t>
            </w:r>
          </w:p>
          <w:p w:rsidR="00707921" w:rsidRPr="00006EED" w:rsidRDefault="00707921" w:rsidP="00524575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</w:pPr>
          </w:p>
          <w:p w:rsidR="00524575" w:rsidRPr="00524575" w:rsidRDefault="00524575" w:rsidP="00524575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>Права на денежные средства принадлежат:</w:t>
            </w:r>
          </w:p>
        </w:tc>
        <w:tc>
          <w:tcPr>
            <w:tcW w:w="3646" w:type="dxa"/>
            <w:shd w:val="clear" w:color="auto" w:fill="FFFFFF"/>
            <w:hideMark/>
          </w:tcPr>
          <w:p w:rsidR="00E02B20" w:rsidRPr="00006EED" w:rsidRDefault="00E02B20" w:rsidP="00524575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006EED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Ложатся на собственников</w:t>
            </w:r>
          </w:p>
          <w:p w:rsidR="00E02B20" w:rsidRPr="00006EED" w:rsidRDefault="00E02B20" w:rsidP="00524575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</w:p>
          <w:p w:rsidR="00E02B20" w:rsidRPr="00006EED" w:rsidRDefault="00E02B20" w:rsidP="00524575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</w:p>
          <w:p w:rsidR="00707921" w:rsidRPr="00006EED" w:rsidRDefault="00707921" w:rsidP="00707921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</w:p>
          <w:p w:rsidR="00707921" w:rsidRPr="00006EED" w:rsidRDefault="00707921" w:rsidP="00707921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006EED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Ложатся на собственников</w:t>
            </w:r>
          </w:p>
          <w:p w:rsidR="00E02B20" w:rsidRPr="00006EED" w:rsidRDefault="00E02B20" w:rsidP="00524575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</w:p>
          <w:p w:rsidR="00707921" w:rsidRPr="00006EED" w:rsidRDefault="00707921" w:rsidP="00707921">
            <w:pPr>
              <w:spacing w:after="150" w:line="240" w:lineRule="atLeast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006EED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 xml:space="preserve">             </w:t>
            </w: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Собственникам</w:t>
            </w:r>
          </w:p>
          <w:p w:rsidR="00524575" w:rsidRPr="00524575" w:rsidRDefault="00524575" w:rsidP="00524575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</w:p>
        </w:tc>
        <w:tc>
          <w:tcPr>
            <w:tcW w:w="4535" w:type="dxa"/>
            <w:shd w:val="clear" w:color="auto" w:fill="FFFFFF"/>
            <w:hideMark/>
          </w:tcPr>
          <w:p w:rsidR="00E02B20" w:rsidRPr="00006EED" w:rsidRDefault="00E02B20" w:rsidP="00524575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006EED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 xml:space="preserve">Ложатся на регионального оператора </w:t>
            </w:r>
          </w:p>
          <w:p w:rsidR="00E02B20" w:rsidRPr="00006EED" w:rsidRDefault="00E02B20" w:rsidP="00524575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</w:p>
          <w:p w:rsidR="00E02B20" w:rsidRPr="00006EED" w:rsidRDefault="00E02B20" w:rsidP="00524575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</w:p>
          <w:p w:rsidR="00707921" w:rsidRPr="00006EED" w:rsidRDefault="00707921" w:rsidP="00707921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</w:p>
          <w:p w:rsidR="00707921" w:rsidRPr="00006EED" w:rsidRDefault="00707921" w:rsidP="00707921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006EED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 xml:space="preserve">Ложатся на регионального оператора </w:t>
            </w:r>
          </w:p>
          <w:p w:rsidR="00E02B20" w:rsidRPr="00006EED" w:rsidRDefault="00E02B20" w:rsidP="00524575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</w:p>
          <w:p w:rsidR="00707921" w:rsidRPr="00006EED" w:rsidRDefault="00707921" w:rsidP="00707921">
            <w:pPr>
              <w:spacing w:after="150" w:line="240" w:lineRule="atLeast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006EED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 xml:space="preserve">        </w:t>
            </w: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Региональному оператору</w:t>
            </w:r>
          </w:p>
          <w:p w:rsidR="00524575" w:rsidRPr="00524575" w:rsidRDefault="00524575" w:rsidP="00524575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</w:p>
        </w:tc>
      </w:tr>
      <w:tr w:rsidR="00707921" w:rsidRPr="00006EED" w:rsidTr="00050C50">
        <w:tc>
          <w:tcPr>
            <w:tcW w:w="3302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 xml:space="preserve">Начисление % на </w:t>
            </w:r>
            <w:proofErr w:type="gramStart"/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>средства</w:t>
            </w:r>
            <w:proofErr w:type="gramEnd"/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 xml:space="preserve"> внесенные на капремонт</w:t>
            </w:r>
          </w:p>
        </w:tc>
        <w:tc>
          <w:tcPr>
            <w:tcW w:w="3646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535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нет</w:t>
            </w:r>
          </w:p>
        </w:tc>
      </w:tr>
      <w:tr w:rsidR="00707921" w:rsidRPr="00006EED" w:rsidTr="00050C50">
        <w:tc>
          <w:tcPr>
            <w:tcW w:w="3302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>Возможность приостановления пла</w:t>
            </w: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softHyphen/>
              <w:t>тежей собственников при достижении установленного размера фонда</w:t>
            </w:r>
          </w:p>
        </w:tc>
        <w:tc>
          <w:tcPr>
            <w:tcW w:w="3646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да.</w:t>
            </w:r>
          </w:p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В случае</w:t>
            </w:r>
            <w:proofErr w:type="gramStart"/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,</w:t>
            </w:r>
            <w:proofErr w:type="gramEnd"/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 xml:space="preserve"> если законом субъекта РФ предусмотрен минимальный размер фонда капитального ремонта дома, по достижении этого минимального размера, собственники вправе принять решение о приоста</w:t>
            </w: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softHyphen/>
              <w:t>новлении обязанности по уплате взносов на капитальный ремонт.</w:t>
            </w:r>
          </w:p>
        </w:tc>
        <w:tc>
          <w:tcPr>
            <w:tcW w:w="4535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нет</w:t>
            </w:r>
          </w:p>
        </w:tc>
      </w:tr>
      <w:tr w:rsidR="00707921" w:rsidRPr="00006EED" w:rsidTr="00050C50">
        <w:tc>
          <w:tcPr>
            <w:tcW w:w="3302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>Уплата взносов на капитальный ремонт</w:t>
            </w:r>
          </w:p>
        </w:tc>
        <w:tc>
          <w:tcPr>
            <w:tcW w:w="3646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Взносы на капитальный ремонт уплачиваются на специальный счет в сроки, установленные для внесения платы за ЖКУ</w:t>
            </w:r>
          </w:p>
        </w:tc>
        <w:tc>
          <w:tcPr>
            <w:tcW w:w="4535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На основании платежных документов, представленных региональным оператором, в сроки, установленные для внесения платы за ЖКУ, если иное не установлено законом субъекта РФ</w:t>
            </w:r>
          </w:p>
        </w:tc>
      </w:tr>
      <w:tr w:rsidR="00707921" w:rsidRPr="00006EED" w:rsidTr="00050C50">
        <w:tc>
          <w:tcPr>
            <w:tcW w:w="3302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proofErr w:type="gramStart"/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 xml:space="preserve"> качеством работ произво</w:t>
            </w: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softHyphen/>
              <w:t>дят:</w:t>
            </w:r>
          </w:p>
        </w:tc>
        <w:tc>
          <w:tcPr>
            <w:tcW w:w="3646" w:type="dxa"/>
            <w:shd w:val="clear" w:color="auto" w:fill="FFFFFF"/>
            <w:hideMark/>
          </w:tcPr>
          <w:p w:rsidR="00524575" w:rsidRPr="00524575" w:rsidRDefault="00524575" w:rsidP="00006EED">
            <w:pPr>
              <w:numPr>
                <w:ilvl w:val="0"/>
                <w:numId w:val="2"/>
              </w:numPr>
              <w:spacing w:before="100" w:beforeAutospacing="1" w:after="0" w:line="240" w:lineRule="atLeast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собственники</w:t>
            </w:r>
          </w:p>
          <w:p w:rsidR="00524575" w:rsidRPr="00524575" w:rsidRDefault="00524575" w:rsidP="00006EED">
            <w:pPr>
              <w:numPr>
                <w:ilvl w:val="0"/>
                <w:numId w:val="2"/>
              </w:numPr>
              <w:spacing w:before="100" w:beforeAutospacing="1" w:after="0" w:line="240" w:lineRule="atLeast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лица, ответственные за содержание общего имущества</w:t>
            </w:r>
          </w:p>
          <w:p w:rsidR="00524575" w:rsidRPr="00524575" w:rsidRDefault="00524575" w:rsidP="00050C50">
            <w:pPr>
              <w:spacing w:before="100" w:beforeAutospacing="1" w:after="0" w:line="240" w:lineRule="atLeast"/>
              <w:ind w:left="720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5" w:type="dxa"/>
            <w:shd w:val="clear" w:color="auto" w:fill="FFFFFF"/>
            <w:hideMark/>
          </w:tcPr>
          <w:p w:rsidR="00050C50" w:rsidRPr="00524575" w:rsidRDefault="00050C50" w:rsidP="00050C50">
            <w:pPr>
              <w:numPr>
                <w:ilvl w:val="0"/>
                <w:numId w:val="2"/>
              </w:numPr>
              <w:spacing w:before="100" w:beforeAutospacing="1" w:after="0" w:line="240" w:lineRule="atLeast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региональный оператор</w:t>
            </w:r>
            <w:r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 xml:space="preserve"> и</w:t>
            </w:r>
          </w:p>
          <w:p w:rsidR="00524575" w:rsidRPr="00524575" w:rsidRDefault="00050C50" w:rsidP="00006EED">
            <w:pPr>
              <w:spacing w:after="0" w:line="240" w:lineRule="atLeast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органы местного самоуправления</w:t>
            </w:r>
          </w:p>
        </w:tc>
      </w:tr>
      <w:tr w:rsidR="00707921" w:rsidRPr="00006EED" w:rsidTr="00050C50">
        <w:tc>
          <w:tcPr>
            <w:tcW w:w="3302" w:type="dxa"/>
            <w:shd w:val="clear" w:color="auto" w:fill="FFFFFF"/>
            <w:hideMark/>
          </w:tcPr>
          <w:p w:rsidR="00524575" w:rsidRPr="00006EED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>Возможность капремонт</w:t>
            </w:r>
            <w:r w:rsidR="00006EED" w:rsidRPr="00006EED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>а</w:t>
            </w: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 xml:space="preserve"> до установленного региональной програм</w:t>
            </w: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softHyphen/>
              <w:t xml:space="preserve">мой срока за счет минимальных </w:t>
            </w:r>
            <w:r w:rsidR="00707921" w:rsidRPr="00006EED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>взносов</w:t>
            </w:r>
          </w:p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</w:p>
        </w:tc>
        <w:tc>
          <w:tcPr>
            <w:tcW w:w="3646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535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Да, но при наличии сре</w:t>
            </w:r>
            <w:proofErr w:type="gramStart"/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дств в ф</w:t>
            </w:r>
            <w:proofErr w:type="gramEnd"/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онде капитального ремонта на год, в который собственники решили про</w:t>
            </w: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softHyphen/>
              <w:t>вести капремонт</w:t>
            </w:r>
          </w:p>
        </w:tc>
      </w:tr>
      <w:tr w:rsidR="00707921" w:rsidRPr="00006EED" w:rsidTr="00050C50">
        <w:tc>
          <w:tcPr>
            <w:tcW w:w="3302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>Возможность использовать минималь</w:t>
            </w: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softHyphen/>
              <w:t>ные взносы на капитальный ремонт на погашение кредита</w:t>
            </w:r>
          </w:p>
        </w:tc>
        <w:tc>
          <w:tcPr>
            <w:tcW w:w="3646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535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нет</w:t>
            </w:r>
          </w:p>
        </w:tc>
      </w:tr>
      <w:tr w:rsidR="00707921" w:rsidRPr="00006EED" w:rsidTr="00050C50">
        <w:tc>
          <w:tcPr>
            <w:tcW w:w="3302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>Необходимость привлечения дополни</w:t>
            </w: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softHyphen/>
              <w:t>тельных средств</w:t>
            </w:r>
          </w:p>
        </w:tc>
        <w:tc>
          <w:tcPr>
            <w:tcW w:w="3646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535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нет</w:t>
            </w:r>
          </w:p>
        </w:tc>
      </w:tr>
      <w:tr w:rsidR="00707921" w:rsidRPr="00006EED" w:rsidTr="00050C50">
        <w:tc>
          <w:tcPr>
            <w:tcW w:w="3302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>Срок изменения способа формирования фонда:</w:t>
            </w:r>
          </w:p>
        </w:tc>
        <w:tc>
          <w:tcPr>
            <w:tcW w:w="3646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Один месяц</w:t>
            </w:r>
          </w:p>
        </w:tc>
        <w:tc>
          <w:tcPr>
            <w:tcW w:w="4535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Два года, если меньший срок не установлен законом субъекта РФ</w:t>
            </w:r>
          </w:p>
        </w:tc>
      </w:tr>
      <w:tr w:rsidR="00707921" w:rsidRPr="00006EED" w:rsidTr="00050C50">
        <w:tc>
          <w:tcPr>
            <w:tcW w:w="3302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>Государственная поддержка при ее наличии</w:t>
            </w:r>
          </w:p>
        </w:tc>
        <w:tc>
          <w:tcPr>
            <w:tcW w:w="3646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Равнодоступна</w:t>
            </w:r>
          </w:p>
        </w:tc>
        <w:tc>
          <w:tcPr>
            <w:tcW w:w="4535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Равнодоступна</w:t>
            </w:r>
          </w:p>
        </w:tc>
      </w:tr>
      <w:tr w:rsidR="00707921" w:rsidRPr="00006EED" w:rsidTr="00050C50">
        <w:tc>
          <w:tcPr>
            <w:tcW w:w="3302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524575">
              <w:rPr>
                <w:rFonts w:ascii="Tahoma" w:eastAsia="Times New Roman" w:hAnsi="Tahoma" w:cs="Tahoma"/>
                <w:b/>
                <w:bCs/>
                <w:color w:val="404040"/>
                <w:sz w:val="16"/>
                <w:szCs w:val="16"/>
                <w:lang w:eastAsia="ru-RU"/>
              </w:rPr>
              <w:t>Использование взносов на капремонт других домов</w:t>
            </w:r>
          </w:p>
        </w:tc>
        <w:tc>
          <w:tcPr>
            <w:tcW w:w="3646" w:type="dxa"/>
            <w:shd w:val="clear" w:color="auto" w:fill="FFFFFF"/>
            <w:hideMark/>
          </w:tcPr>
          <w:p w:rsidR="00524575" w:rsidRPr="00524575" w:rsidRDefault="00006EED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r w:rsidRPr="00006EED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35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  <w:proofErr w:type="gramStart"/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t>Средства, полученные региональным оператором от собственников помещений в одних многоквар</w:t>
            </w: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softHyphen/>
              <w:t>тирных домах, формирующих фонды капитального ремонта на счете, счетах регионального оператора, могут быть использованы на возвратной основе для финансирования капитального ремонта общего имущества в других многоквартирных домах, соб</w:t>
            </w:r>
            <w:r w:rsidRPr="00524575"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  <w:softHyphen/>
              <w:t>ственники помещений в которых также формируют фонды капитального ремонта на счете, счетах этого же регионального оператора.</w:t>
            </w:r>
            <w:proofErr w:type="gramEnd"/>
          </w:p>
        </w:tc>
      </w:tr>
      <w:tr w:rsidR="00006EED" w:rsidRPr="00006EED" w:rsidTr="00050C50">
        <w:trPr>
          <w:gridAfter w:val="2"/>
          <w:wAfter w:w="8181" w:type="dxa"/>
        </w:trPr>
        <w:tc>
          <w:tcPr>
            <w:tcW w:w="3302" w:type="dxa"/>
            <w:shd w:val="clear" w:color="auto" w:fill="FFFFFF"/>
            <w:hideMark/>
          </w:tcPr>
          <w:p w:rsidR="00524575" w:rsidRPr="00524575" w:rsidRDefault="00524575" w:rsidP="00006EED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404040"/>
                <w:sz w:val="16"/>
                <w:szCs w:val="16"/>
                <w:lang w:eastAsia="ru-RU"/>
              </w:rPr>
            </w:pPr>
          </w:p>
        </w:tc>
      </w:tr>
    </w:tbl>
    <w:p w:rsidR="0011576C" w:rsidRPr="00006EED" w:rsidRDefault="0011576C" w:rsidP="00006EED">
      <w:pPr>
        <w:shd w:val="clear" w:color="auto" w:fill="FFFFFF"/>
        <w:spacing w:after="0" w:line="240" w:lineRule="auto"/>
        <w:rPr>
          <w:sz w:val="16"/>
          <w:szCs w:val="16"/>
        </w:rPr>
      </w:pPr>
    </w:p>
    <w:sectPr w:rsidR="0011576C" w:rsidRPr="00006EED" w:rsidSect="00006EE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6F86"/>
    <w:multiLevelType w:val="multilevel"/>
    <w:tmpl w:val="64AC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201E63"/>
    <w:multiLevelType w:val="multilevel"/>
    <w:tmpl w:val="D3E4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575"/>
    <w:rsid w:val="00006EED"/>
    <w:rsid w:val="00050C50"/>
    <w:rsid w:val="0011576C"/>
    <w:rsid w:val="00524575"/>
    <w:rsid w:val="0063566E"/>
    <w:rsid w:val="00707921"/>
    <w:rsid w:val="00E0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миронов</dc:creator>
  <cp:lastModifiedBy>дмитрий миронов</cp:lastModifiedBy>
  <cp:revision>1</cp:revision>
  <cp:lastPrinted>2017-05-15T17:25:00Z</cp:lastPrinted>
  <dcterms:created xsi:type="dcterms:W3CDTF">2017-05-15T16:26:00Z</dcterms:created>
  <dcterms:modified xsi:type="dcterms:W3CDTF">2017-05-15T17:30:00Z</dcterms:modified>
</cp:coreProperties>
</file>